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3CFD6C2F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0D300A">
        <w:rPr>
          <w:rFonts w:ascii="Arial" w:hAnsi="Arial" w:cs="Arial"/>
          <w:b/>
        </w:rPr>
        <w:t>5</w:t>
      </w:r>
    </w:p>
    <w:p w14:paraId="43A58405" w14:textId="1CABE477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0D300A">
        <w:rPr>
          <w:rFonts w:ascii="Arial" w:hAnsi="Arial" w:cs="Arial"/>
        </w:rPr>
        <w:t>mayo</w:t>
      </w:r>
      <w:r w:rsidR="004E601B">
        <w:rPr>
          <w:rFonts w:ascii="Arial" w:hAnsi="Arial" w:cs="Arial"/>
        </w:rPr>
        <w:t xml:space="preserve">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</w:t>
      </w:r>
      <w:r w:rsidR="000D300A">
        <w:rPr>
          <w:rFonts w:ascii="Arial" w:hAnsi="Arial" w:cs="Arial"/>
        </w:rPr>
        <w:t xml:space="preserve">junio </w:t>
      </w:r>
      <w:r w:rsidRPr="00F95222">
        <w:rPr>
          <w:rFonts w:ascii="Arial" w:hAnsi="Arial" w:cs="Arial"/>
        </w:rPr>
        <w:t xml:space="preserve">de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91"/>
        <w:gridCol w:w="4724"/>
      </w:tblGrid>
      <w:tr w:rsidR="001766C7" w:rsidRPr="00405061" w14:paraId="3A1CD8A9" w14:textId="77777777" w:rsidTr="00ED0AC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724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ED0AC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ED0AC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724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ED0AC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2D8BAA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53B574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00F1C46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076600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E0E0A5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170CA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4D667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vAlign w:val="center"/>
          </w:tcPr>
          <w:p w14:paraId="65476FD8" w14:textId="77777777" w:rsidR="00FB3911" w:rsidRDefault="00FB391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8CD96C" w14:textId="3D2A222E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En aras de aplicar la nueva mitología establecida por la corporación para la administración de los riesgos, </w:t>
            </w:r>
            <w:r>
              <w:rPr>
                <w:rFonts w:ascii="Arial" w:hAnsi="Arial" w:cs="Arial"/>
              </w:rPr>
              <w:t xml:space="preserve">durante este período se trabajaron los </w:t>
            </w:r>
            <w:r w:rsidRPr="00A471CE">
              <w:rPr>
                <w:rFonts w:ascii="Arial" w:hAnsi="Arial" w:cs="Arial"/>
              </w:rPr>
              <w:t>mapa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 riesgo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los </w:t>
            </w:r>
            <w:r w:rsidRPr="00A471CE">
              <w:rPr>
                <w:rFonts w:ascii="Arial" w:hAnsi="Arial" w:cs="Arial"/>
              </w:rPr>
              <w:t>proceso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Gestión </w:t>
            </w:r>
            <w:r w:rsidR="00F401D0">
              <w:rPr>
                <w:rFonts w:ascii="Arial" w:hAnsi="Arial" w:cs="Arial"/>
              </w:rPr>
              <w:t>de Infraestructura</w:t>
            </w:r>
            <w:r w:rsidR="00484BD3">
              <w:rPr>
                <w:rFonts w:ascii="Arial" w:hAnsi="Arial" w:cs="Arial"/>
              </w:rPr>
              <w:t xml:space="preserve">, </w:t>
            </w:r>
            <w:r w:rsidR="00F401D0">
              <w:rPr>
                <w:rFonts w:ascii="Arial" w:hAnsi="Arial" w:cs="Arial"/>
              </w:rPr>
              <w:t>Auditoría de Gestión</w:t>
            </w:r>
            <w:r w:rsidR="00484BD3">
              <w:rPr>
                <w:rFonts w:ascii="Arial" w:hAnsi="Arial" w:cs="Arial"/>
              </w:rPr>
              <w:t xml:space="preserve"> y </w:t>
            </w:r>
            <w:r w:rsidR="00F401D0">
              <w:rPr>
                <w:rFonts w:ascii="Arial" w:hAnsi="Arial" w:cs="Arial"/>
              </w:rPr>
              <w:t xml:space="preserve">Gestión de Sistemas. </w:t>
            </w:r>
          </w:p>
          <w:p w14:paraId="457DE62A" w14:textId="7777777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3E5382A" w14:textId="1EE478BB" w:rsidR="001B654D" w:rsidRDefault="005008A6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>e identificaron y definieron la</w:t>
            </w:r>
            <w:r w:rsidR="00841751" w:rsidRPr="00A471CE">
              <w:rPr>
                <w:rFonts w:ascii="Arial" w:hAnsi="Arial" w:cs="Arial"/>
              </w:rPr>
              <w:t xml:space="preserve">s </w:t>
            </w:r>
            <w:r w:rsidR="00841751">
              <w:rPr>
                <w:rFonts w:ascii="Arial" w:hAnsi="Arial" w:cs="Arial"/>
              </w:rPr>
              <w:t>situaciones internas</w:t>
            </w:r>
            <w:r w:rsidR="00841751" w:rsidRPr="00A471CE">
              <w:rPr>
                <w:rFonts w:ascii="Arial" w:hAnsi="Arial" w:cs="Arial"/>
              </w:rPr>
              <w:t>, extern</w:t>
            </w:r>
            <w:r w:rsidR="00841751">
              <w:rPr>
                <w:rFonts w:ascii="Arial" w:hAnsi="Arial" w:cs="Arial"/>
              </w:rPr>
              <w:t>a</w:t>
            </w:r>
            <w:r w:rsidR="00841751" w:rsidRPr="00A471CE"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 xml:space="preserve"> y del proceso</w:t>
            </w:r>
            <w:r w:rsidR="001B654D">
              <w:rPr>
                <w:rFonts w:ascii="Arial" w:hAnsi="Arial" w:cs="Arial"/>
              </w:rPr>
              <w:t xml:space="preserve">, </w:t>
            </w:r>
            <w:r w:rsidR="001B654D" w:rsidRPr="00A471CE">
              <w:rPr>
                <w:rFonts w:ascii="Arial" w:hAnsi="Arial" w:cs="Arial"/>
              </w:rPr>
              <w:t xml:space="preserve">con sus </w:t>
            </w:r>
            <w:r w:rsidR="001B654D">
              <w:rPr>
                <w:rFonts w:ascii="Arial" w:hAnsi="Arial" w:cs="Arial"/>
              </w:rPr>
              <w:t xml:space="preserve">respectivos </w:t>
            </w:r>
            <w:r w:rsidR="001B654D" w:rsidRPr="00A471CE">
              <w:rPr>
                <w:rFonts w:ascii="Arial" w:hAnsi="Arial" w:cs="Arial"/>
              </w:rPr>
              <w:t>niveles de prior</w:t>
            </w:r>
            <w:r w:rsidR="001B654D">
              <w:rPr>
                <w:rFonts w:ascii="Arial" w:hAnsi="Arial" w:cs="Arial"/>
              </w:rPr>
              <w:t xml:space="preserve">ización, </w:t>
            </w:r>
            <w:r w:rsidR="001B654D" w:rsidRPr="00A471CE">
              <w:rPr>
                <w:rFonts w:ascii="Arial" w:hAnsi="Arial" w:cs="Arial"/>
              </w:rPr>
              <w:t xml:space="preserve">los cuales </w:t>
            </w:r>
            <w:r w:rsidR="001B654D">
              <w:rPr>
                <w:rFonts w:ascii="Arial" w:hAnsi="Arial" w:cs="Arial"/>
              </w:rPr>
              <w:t xml:space="preserve">fueron </w:t>
            </w:r>
            <w:r w:rsidR="001B654D" w:rsidRPr="00A471CE">
              <w:rPr>
                <w:rFonts w:ascii="Arial" w:hAnsi="Arial" w:cs="Arial"/>
              </w:rPr>
              <w:t xml:space="preserve">insumo para </w:t>
            </w:r>
            <w:r w:rsidR="001B654D">
              <w:rPr>
                <w:rFonts w:ascii="Arial" w:hAnsi="Arial" w:cs="Arial"/>
              </w:rPr>
              <w:t xml:space="preserve">identificar los riesgos </w:t>
            </w:r>
            <w:r w:rsidR="001B654D" w:rsidRPr="00A471CE">
              <w:rPr>
                <w:rFonts w:ascii="Arial" w:hAnsi="Arial" w:cs="Arial"/>
              </w:rPr>
              <w:t>tanto institu</w:t>
            </w:r>
            <w:r w:rsidR="001B654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ionales como los de corrupción.</w:t>
            </w:r>
          </w:p>
          <w:p w14:paraId="3DF85861" w14:textId="77777777" w:rsidR="005008A6" w:rsidRDefault="005008A6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19914B" w14:textId="77777777" w:rsidR="00E442E3" w:rsidRDefault="00E442E3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A5C0EBE" w14:textId="77777777" w:rsidR="00F24CF9" w:rsidRDefault="00F24CF9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96BA2A" w14:textId="77777777" w:rsidR="00F24CF9" w:rsidRPr="00F24CF9" w:rsidRDefault="00F24CF9" w:rsidP="003A40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24CF9">
              <w:rPr>
                <w:rFonts w:ascii="Arial" w:hAnsi="Arial" w:cs="Arial"/>
                <w:b/>
              </w:rPr>
              <w:lastRenderedPageBreak/>
              <w:t>Proceso Auditoría de Gestión:</w:t>
            </w:r>
          </w:p>
          <w:p w14:paraId="16BA53F1" w14:textId="0609BA11" w:rsidR="00331884" w:rsidRDefault="00BF38A1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los </w:t>
            </w:r>
            <w:r w:rsidR="00331884">
              <w:rPr>
                <w:rFonts w:ascii="Arial" w:hAnsi="Arial" w:cs="Arial"/>
              </w:rPr>
              <w:t>4</w:t>
            </w:r>
            <w:r w:rsidR="003A40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riesgos </w:t>
            </w:r>
            <w:r w:rsidR="00EF44C8">
              <w:rPr>
                <w:rFonts w:ascii="Arial" w:hAnsi="Arial" w:cs="Arial"/>
              </w:rPr>
              <w:t xml:space="preserve">institucionales </w:t>
            </w:r>
            <w:r w:rsidR="00331884">
              <w:rPr>
                <w:rFonts w:ascii="Arial" w:hAnsi="Arial" w:cs="Arial"/>
              </w:rPr>
              <w:t xml:space="preserve">establecidos en el mapa anterior, se eliminó uno, quedando por consiguiente 3 inductores de riesgos </w:t>
            </w:r>
            <w:r>
              <w:rPr>
                <w:rFonts w:ascii="Arial" w:hAnsi="Arial" w:cs="Arial"/>
              </w:rPr>
              <w:t>identificados</w:t>
            </w:r>
            <w:r w:rsidR="00331884">
              <w:rPr>
                <w:rFonts w:ascii="Arial" w:hAnsi="Arial" w:cs="Arial"/>
              </w:rPr>
              <w:t xml:space="preserve"> para bajo la estructura de</w:t>
            </w:r>
            <w:r w:rsidR="00F04CAE">
              <w:rPr>
                <w:rFonts w:ascii="Arial" w:hAnsi="Arial" w:cs="Arial"/>
              </w:rPr>
              <w:t xml:space="preserve"> </w:t>
            </w:r>
            <w:r w:rsidR="00331884">
              <w:rPr>
                <w:rFonts w:ascii="Arial" w:hAnsi="Arial" w:cs="Arial"/>
              </w:rPr>
              <w:t>la nueva metodología.</w:t>
            </w:r>
          </w:p>
          <w:p w14:paraId="118F9D21" w14:textId="77777777" w:rsidR="00331884" w:rsidRPr="000A7785" w:rsidRDefault="00331884" w:rsidP="003A40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1495D92" w14:textId="7C53EA0E" w:rsidR="000A7785" w:rsidRPr="00F24CF9" w:rsidRDefault="000A7785" w:rsidP="000A77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24CF9">
              <w:rPr>
                <w:rFonts w:ascii="Arial" w:hAnsi="Arial" w:cs="Arial"/>
                <w:b/>
              </w:rPr>
              <w:t>Proceso Gestión</w:t>
            </w:r>
            <w:r>
              <w:rPr>
                <w:rFonts w:ascii="Arial" w:hAnsi="Arial" w:cs="Arial"/>
                <w:b/>
              </w:rPr>
              <w:t xml:space="preserve"> de </w:t>
            </w:r>
            <w:r w:rsidRPr="000A7785">
              <w:rPr>
                <w:rFonts w:ascii="Arial" w:hAnsi="Arial" w:cs="Arial"/>
                <w:b/>
              </w:rPr>
              <w:t>Infraestructura</w:t>
            </w:r>
            <w:r w:rsidRPr="00F24CF9">
              <w:rPr>
                <w:rFonts w:ascii="Arial" w:hAnsi="Arial" w:cs="Arial"/>
                <w:b/>
              </w:rPr>
              <w:t>:</w:t>
            </w:r>
          </w:p>
          <w:p w14:paraId="6E0EFA24" w14:textId="77777777" w:rsidR="00FA33C7" w:rsidRDefault="00277B33" w:rsidP="00FA33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reemplazaron los 6 inductores de riesgos </w:t>
            </w:r>
            <w:r w:rsidR="00FA33C7">
              <w:rPr>
                <w:rFonts w:ascii="Arial" w:hAnsi="Arial" w:cs="Arial"/>
              </w:rPr>
              <w:t>por 4 nuevos con su respectivo análisis y evaluación.</w:t>
            </w:r>
          </w:p>
          <w:p w14:paraId="4F9F2260" w14:textId="77777777" w:rsidR="00FA33C7" w:rsidRDefault="00FA33C7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F69AE9" w14:textId="6A2F4697" w:rsidR="00FA33C7" w:rsidRDefault="004373D7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4CF9">
              <w:rPr>
                <w:rFonts w:ascii="Arial" w:hAnsi="Arial" w:cs="Arial"/>
                <w:b/>
              </w:rPr>
              <w:t>Proceso</w:t>
            </w:r>
            <w:r>
              <w:rPr>
                <w:rFonts w:ascii="Arial" w:hAnsi="Arial" w:cs="Arial"/>
              </w:rPr>
              <w:t xml:space="preserve"> </w:t>
            </w:r>
            <w:r w:rsidRPr="004373D7">
              <w:rPr>
                <w:rFonts w:ascii="Arial" w:hAnsi="Arial" w:cs="Arial"/>
                <w:b/>
              </w:rPr>
              <w:t>Gestión de Sistemas</w:t>
            </w:r>
            <w:r w:rsidR="009C0B76">
              <w:rPr>
                <w:rFonts w:ascii="Arial" w:hAnsi="Arial" w:cs="Arial"/>
                <w:b/>
              </w:rPr>
              <w:t>:</w:t>
            </w:r>
          </w:p>
          <w:p w14:paraId="758C17D4" w14:textId="77777777" w:rsidR="005468B8" w:rsidRDefault="005468B8" w:rsidP="005468B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sustituyeron los 4 inductores por 4 nuevos con su respectivo análisis y evaluación.</w:t>
            </w:r>
          </w:p>
          <w:p w14:paraId="7712C57A" w14:textId="739350B5" w:rsidR="005468B8" w:rsidRDefault="005468B8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EA4139D" w14:textId="6489977B" w:rsidR="005E0AD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Dentro de </w:t>
            </w:r>
            <w:r w:rsidR="005E0ADE">
              <w:rPr>
                <w:rFonts w:ascii="Arial" w:hAnsi="Arial" w:cs="Arial"/>
              </w:rPr>
              <w:t>los inductores de riesgos establecidos con la a</w:t>
            </w:r>
            <w:r w:rsidRPr="00A471CE">
              <w:rPr>
                <w:rFonts w:ascii="Arial" w:hAnsi="Arial" w:cs="Arial"/>
              </w:rPr>
              <w:t>plicación de</w:t>
            </w:r>
            <w:r>
              <w:rPr>
                <w:rFonts w:ascii="Arial" w:hAnsi="Arial" w:cs="Arial"/>
              </w:rPr>
              <w:t xml:space="preserve"> la nueva metodología, se identific</w:t>
            </w:r>
            <w:r w:rsidR="005E0ADE">
              <w:rPr>
                <w:rFonts w:ascii="Arial" w:hAnsi="Arial" w:cs="Arial"/>
              </w:rPr>
              <w:t xml:space="preserve">aron para </w:t>
            </w:r>
            <w:r w:rsidR="00A738FB">
              <w:rPr>
                <w:rFonts w:ascii="Arial" w:hAnsi="Arial" w:cs="Arial"/>
              </w:rPr>
              <w:t xml:space="preserve">los </w:t>
            </w:r>
            <w:r w:rsidR="005E0ADE">
              <w:rPr>
                <w:rFonts w:ascii="Arial" w:hAnsi="Arial" w:cs="Arial"/>
              </w:rPr>
              <w:t>proceso</w:t>
            </w:r>
            <w:r w:rsidR="00A738FB">
              <w:rPr>
                <w:rFonts w:ascii="Arial" w:hAnsi="Arial" w:cs="Arial"/>
              </w:rPr>
              <w:t>s Gestión</w:t>
            </w:r>
            <w:r w:rsidR="00897B83">
              <w:rPr>
                <w:rFonts w:ascii="Arial" w:hAnsi="Arial" w:cs="Arial"/>
              </w:rPr>
              <w:t xml:space="preserve"> de Sistema y Auditoría de Gestión</w:t>
            </w:r>
            <w:r w:rsidR="00A738FB">
              <w:rPr>
                <w:rFonts w:ascii="Arial" w:hAnsi="Arial" w:cs="Arial"/>
              </w:rPr>
              <w:t xml:space="preserve">, </w:t>
            </w:r>
            <w:r w:rsidR="005E0ADE">
              <w:rPr>
                <w:rFonts w:ascii="Arial" w:hAnsi="Arial" w:cs="Arial"/>
              </w:rPr>
              <w:t>un riesgo de corrupción con sus respectivas variables de análisis y evaluación</w:t>
            </w:r>
            <w:r w:rsidR="001F5D3C">
              <w:rPr>
                <w:rFonts w:ascii="Arial" w:hAnsi="Arial" w:cs="Arial"/>
              </w:rPr>
              <w:t xml:space="preserve">, quedando por consiguiente </w:t>
            </w:r>
            <w:r w:rsidR="00897B83">
              <w:rPr>
                <w:rFonts w:ascii="Arial" w:hAnsi="Arial" w:cs="Arial"/>
              </w:rPr>
              <w:t xml:space="preserve">en cada proceso, </w:t>
            </w:r>
            <w:r w:rsidR="001F5D3C">
              <w:rPr>
                <w:rFonts w:ascii="Arial" w:hAnsi="Arial" w:cs="Arial"/>
              </w:rPr>
              <w:t xml:space="preserve">una misma matriz </w:t>
            </w:r>
            <w:r w:rsidR="00543504">
              <w:rPr>
                <w:rFonts w:ascii="Arial" w:hAnsi="Arial" w:cs="Arial"/>
              </w:rPr>
              <w:t xml:space="preserve">que contiene </w:t>
            </w:r>
            <w:r w:rsidR="001F5D3C">
              <w:rPr>
                <w:rFonts w:ascii="Arial" w:hAnsi="Arial" w:cs="Arial"/>
              </w:rPr>
              <w:t>tanto los riesgos institucionales como los de corrupción.</w:t>
            </w:r>
          </w:p>
          <w:p w14:paraId="5B21AB48" w14:textId="77777777" w:rsidR="005E0ADE" w:rsidRDefault="005E0ADE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EBB9A5" w14:textId="16CC3498" w:rsidR="003548ED" w:rsidRPr="00A471CE" w:rsidRDefault="003548ED" w:rsidP="003548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Como evidencia de lo anterior se anexa al presente informe </w:t>
            </w:r>
            <w:r>
              <w:rPr>
                <w:rFonts w:ascii="Arial" w:hAnsi="Arial" w:cs="Arial"/>
              </w:rPr>
              <w:t>l</w:t>
            </w:r>
            <w:r w:rsidR="00417D58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mapa</w:t>
            </w:r>
            <w:r w:rsidR="00417D5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de riesgo</w:t>
            </w:r>
            <w:r w:rsidR="00417D58"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debidamente aju</w:t>
            </w:r>
            <w:r w:rsidR="00A804F5">
              <w:rPr>
                <w:rFonts w:ascii="Arial" w:hAnsi="Arial" w:cs="Arial"/>
              </w:rPr>
              <w:t xml:space="preserve">stados a la nueva metodología. </w:t>
            </w:r>
            <w:r w:rsidRPr="00A471CE">
              <w:rPr>
                <w:rFonts w:ascii="Arial" w:hAnsi="Arial" w:cs="Arial"/>
              </w:rPr>
              <w:t xml:space="preserve">Anexo No. </w:t>
            </w:r>
            <w:r w:rsidR="00A804F5">
              <w:rPr>
                <w:rFonts w:ascii="Arial" w:hAnsi="Arial" w:cs="Arial"/>
              </w:rPr>
              <w:t>1</w:t>
            </w:r>
            <w:r w:rsidR="00AE0A05">
              <w:rPr>
                <w:rFonts w:ascii="Arial" w:hAnsi="Arial" w:cs="Arial"/>
              </w:rPr>
              <w:t>.</w:t>
            </w:r>
          </w:p>
          <w:p w14:paraId="7E90775F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D09E4A" w14:textId="77777777" w:rsidR="00AA62B8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Adicionalmente, al iniciar la sesión de trabajo se le explicó al funcionario responsable del proceso, la dinámica de la nueva metodología, importancia y se les recordó el compromiso que tienen frente a los riesgos de su proceso </w:t>
            </w:r>
            <w:r>
              <w:rPr>
                <w:rFonts w:ascii="Arial" w:hAnsi="Arial" w:cs="Arial"/>
              </w:rPr>
              <w:t xml:space="preserve">tanto institucionales como </w:t>
            </w:r>
            <w:r w:rsidRPr="00A471CE">
              <w:rPr>
                <w:rFonts w:ascii="Arial" w:hAnsi="Arial" w:cs="Arial"/>
              </w:rPr>
              <w:t>los de corrupción.</w:t>
            </w:r>
            <w:r w:rsidRPr="009153F7">
              <w:rPr>
                <w:rFonts w:ascii="Arial" w:hAnsi="Arial" w:cs="Arial"/>
              </w:rPr>
              <w:t xml:space="preserve"> </w:t>
            </w:r>
          </w:p>
          <w:p w14:paraId="61CB8BFD" w14:textId="2EE9EA5C" w:rsidR="00AA62B8" w:rsidRPr="009153F7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68E1DE8A" w14:textId="77777777" w:rsidTr="00ED0AC0">
        <w:trPr>
          <w:trHeight w:val="1011"/>
        </w:trPr>
        <w:tc>
          <w:tcPr>
            <w:tcW w:w="711" w:type="dxa"/>
            <w:vAlign w:val="center"/>
          </w:tcPr>
          <w:p w14:paraId="495D4D06" w14:textId="262ED76D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480B8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EF7A0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2886A6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C28C0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83072A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B6C48E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9F3D7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0531A7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95303E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E4EBB71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79CDD8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DAB19C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DC74DB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532AC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9C899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68A7FE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ED0AC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5D455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AF9193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BF5541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859B03" w14:textId="77777777" w:rsidR="00BF5541" w:rsidRDefault="00BF5541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E0A3106" w:rsidR="00A76532" w:rsidRPr="00430056" w:rsidRDefault="00A76532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5468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1B84C3" w14:textId="756372C5" w:rsidR="004B7E84" w:rsidRDefault="00093FFE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la naturaleza de la</w:t>
            </w:r>
            <w:r w:rsidR="004B7E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presente</w:t>
            </w:r>
            <w:r w:rsidR="004B7E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actividad</w:t>
            </w:r>
            <w:r w:rsidR="004B7E8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y en marco de darle cumplimiento a lo establecido en el </w:t>
            </w:r>
            <w:r w:rsidRPr="00E80C41">
              <w:rPr>
                <w:rFonts w:ascii="Arial" w:hAnsi="Arial" w:cs="Arial"/>
              </w:rPr>
              <w:t>Decreto 124 de 2016</w:t>
            </w:r>
            <w:r>
              <w:rPr>
                <w:rFonts w:ascii="Arial" w:hAnsi="Arial" w:cs="Arial"/>
              </w:rPr>
              <w:t>, esta obligación contractual se ejecutó en el primer período contractual</w:t>
            </w:r>
            <w:r w:rsidR="004B7E84">
              <w:rPr>
                <w:rFonts w:ascii="Arial" w:hAnsi="Arial" w:cs="Arial"/>
              </w:rPr>
              <w:t xml:space="preserve">, quedando evidenciado </w:t>
            </w:r>
            <w:r>
              <w:rPr>
                <w:rFonts w:ascii="Arial" w:hAnsi="Arial" w:cs="Arial"/>
              </w:rPr>
              <w:t xml:space="preserve">en el </w:t>
            </w:r>
            <w:r w:rsidR="004B7E84">
              <w:rPr>
                <w:rFonts w:ascii="Arial" w:hAnsi="Arial" w:cs="Arial"/>
              </w:rPr>
              <w:t>primer informe.</w:t>
            </w:r>
          </w:p>
          <w:p w14:paraId="56D6C1F0" w14:textId="77777777" w:rsidR="00093FFE" w:rsidRDefault="00093FFE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4591E8" w14:textId="77777777" w:rsidR="005E539D" w:rsidRDefault="005E539D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A9A496" w14:textId="423356B2" w:rsidR="0097721E" w:rsidRPr="00430056" w:rsidRDefault="0097721E" w:rsidP="004B7E8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74F2C78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98B628" w14:textId="0336F4F1" w:rsidR="00A76532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432922C4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846856">
              <w:rPr>
                <w:rFonts w:ascii="Arial" w:hAnsi="Arial" w:cs="Arial"/>
              </w:rPr>
              <w:t>5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846856">
              <w:rPr>
                <w:rFonts w:ascii="Arial" w:hAnsi="Arial" w:cs="Arial"/>
              </w:rPr>
              <w:t xml:space="preserve">mayo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846856">
              <w:rPr>
                <w:rFonts w:ascii="Arial" w:hAnsi="Arial" w:cs="Arial"/>
              </w:rPr>
              <w:t>junio</w:t>
            </w:r>
            <w:r w:rsidR="0097721E">
              <w:rPr>
                <w:rFonts w:ascii="Arial" w:hAnsi="Arial" w:cs="Arial"/>
              </w:rPr>
              <w:t xml:space="preserve">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Durante éste período, no surgió novedad de </w:t>
            </w:r>
            <w:r>
              <w:rPr>
                <w:rFonts w:ascii="Arial" w:hAnsi="Arial" w:cs="Arial"/>
              </w:rPr>
              <w:lastRenderedPageBreak/>
              <w:t>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72905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77777777" w:rsidR="00B83869" w:rsidRPr="00430056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434" w14:textId="1C6F2D5E" w:rsidR="004C04CF" w:rsidRPr="00430056" w:rsidRDefault="009C33DA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este período </w:t>
            </w:r>
            <w:r w:rsidR="00B83869">
              <w:rPr>
                <w:rFonts w:ascii="Arial" w:hAnsi="Arial" w:cs="Arial"/>
              </w:rPr>
              <w:t>desarroll</w:t>
            </w:r>
            <w:r>
              <w:rPr>
                <w:rFonts w:ascii="Arial" w:hAnsi="Arial" w:cs="Arial"/>
              </w:rPr>
              <w:t>é</w:t>
            </w:r>
            <w:r w:rsidR="00B838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mis </w:t>
            </w:r>
            <w:r w:rsidR="00B83869">
              <w:rPr>
                <w:rFonts w:ascii="Arial" w:hAnsi="Arial" w:cs="Arial"/>
              </w:rPr>
              <w:t xml:space="preserve"> obligaciones </w:t>
            </w:r>
            <w:r w:rsidR="00CE4F98">
              <w:rPr>
                <w:rFonts w:ascii="Arial" w:hAnsi="Arial" w:cs="Arial"/>
              </w:rPr>
              <w:t xml:space="preserve">dentro de la corporación con </w:t>
            </w:r>
            <w:r>
              <w:rPr>
                <w:rFonts w:ascii="Arial" w:hAnsi="Arial" w:cs="Arial"/>
              </w:rPr>
              <w:t xml:space="preserve">mis </w:t>
            </w:r>
            <w:r w:rsidR="00CE4F98">
              <w:rPr>
                <w:rFonts w:ascii="Arial" w:hAnsi="Arial" w:cs="Arial"/>
              </w:rPr>
              <w:t xml:space="preserve"> propias herramientas de trabajo.  </w:t>
            </w:r>
          </w:p>
        </w:tc>
      </w:tr>
      <w:tr w:rsidR="004C04CF" w:rsidRPr="00430056" w14:paraId="72F0A05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77777777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329A0C42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</w:t>
            </w:r>
            <w:r w:rsidR="009C33DA">
              <w:rPr>
                <w:rFonts w:ascii="Arial" w:hAnsi="Arial" w:cs="Arial"/>
              </w:rPr>
              <w:t xml:space="preserve">cumplimiento a la presente obligación realicé el respectivo </w:t>
            </w:r>
            <w:r w:rsidRPr="00C40E11">
              <w:rPr>
                <w:rFonts w:ascii="Arial" w:hAnsi="Arial" w:cs="Arial"/>
              </w:rPr>
              <w:t>pago a</w:t>
            </w:r>
            <w:r w:rsidR="009C33DA">
              <w:rPr>
                <w:rFonts w:ascii="Arial" w:hAnsi="Arial" w:cs="Arial"/>
              </w:rPr>
              <w:t>l</w:t>
            </w:r>
            <w:r w:rsidRPr="00C40E11">
              <w:rPr>
                <w:rFonts w:ascii="Arial" w:hAnsi="Arial" w:cs="Arial"/>
              </w:rPr>
              <w:t xml:space="preserve">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5013C1">
              <w:rPr>
                <w:rFonts w:ascii="Arial" w:hAnsi="Arial" w:cs="Arial"/>
              </w:rPr>
              <w:t>mayo</w:t>
            </w:r>
            <w:r w:rsidR="00827A94">
              <w:rPr>
                <w:rFonts w:ascii="Arial" w:hAnsi="Arial" w:cs="Arial"/>
              </w:rPr>
              <w:t xml:space="preserve">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5013C1">
              <w:rPr>
                <w:rFonts w:ascii="Arial" w:hAnsi="Arial" w:cs="Arial"/>
              </w:rPr>
              <w:t xml:space="preserve">junio </w:t>
            </w:r>
            <w:r w:rsidR="00F95222" w:rsidRPr="00F95222">
              <w:rPr>
                <w:rFonts w:ascii="Arial" w:hAnsi="Arial" w:cs="Arial"/>
              </w:rPr>
              <w:t>de 2018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5AE28F" w14:textId="0C6B2B95" w:rsidR="0035137A" w:rsidRPr="00C40E11" w:rsidRDefault="0035137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Como evidencia de lo anterior de anexa al presente informe planilla única liquidad por aportes en línea</w:t>
            </w:r>
            <w:r w:rsidR="003D1C1E" w:rsidRPr="00C40E11">
              <w:rPr>
                <w:rFonts w:ascii="Arial" w:hAnsi="Arial" w:cs="Arial"/>
              </w:rPr>
              <w:t xml:space="preserve"> </w:t>
            </w:r>
            <w:r w:rsidR="008452E7" w:rsidRPr="00C40E11">
              <w:rPr>
                <w:rFonts w:ascii="Arial" w:hAnsi="Arial" w:cs="Arial"/>
              </w:rPr>
              <w:t>número:</w:t>
            </w:r>
          </w:p>
          <w:p w14:paraId="47B271F9" w14:textId="77777777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36307654" w:rsidR="006132BA" w:rsidRPr="00297C6E" w:rsidRDefault="006132B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97C6E">
              <w:rPr>
                <w:rFonts w:ascii="Arial" w:hAnsi="Arial" w:cs="Arial"/>
              </w:rPr>
              <w:t>Planilla</w:t>
            </w:r>
            <w:r w:rsidR="000A69B4" w:rsidRPr="00297C6E">
              <w:rPr>
                <w:rFonts w:ascii="Arial" w:hAnsi="Arial" w:cs="Arial"/>
              </w:rPr>
              <w:t xml:space="preserve"> / </w:t>
            </w:r>
            <w:r w:rsidRPr="00297C6E">
              <w:rPr>
                <w:rFonts w:ascii="Arial" w:hAnsi="Arial" w:cs="Arial"/>
              </w:rPr>
              <w:t xml:space="preserve">Pago: </w:t>
            </w:r>
            <w:r w:rsidR="005013C1" w:rsidRPr="005013C1">
              <w:rPr>
                <w:rFonts w:ascii="Arial" w:hAnsi="Arial" w:cs="Arial"/>
              </w:rPr>
              <w:t>8480197697</w:t>
            </w:r>
            <w:bookmarkStart w:id="0" w:name="_GoBack"/>
            <w:bookmarkEnd w:id="0"/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42289"/>
    <w:rsid w:val="00042A6B"/>
    <w:rsid w:val="00054D2E"/>
    <w:rsid w:val="00054FFE"/>
    <w:rsid w:val="00074E4D"/>
    <w:rsid w:val="00077DA7"/>
    <w:rsid w:val="00077E54"/>
    <w:rsid w:val="00085E29"/>
    <w:rsid w:val="00087ED0"/>
    <w:rsid w:val="00093FFE"/>
    <w:rsid w:val="00094BA5"/>
    <w:rsid w:val="000A24DC"/>
    <w:rsid w:val="000A6674"/>
    <w:rsid w:val="000A69B4"/>
    <w:rsid w:val="000A7785"/>
    <w:rsid w:val="000B0607"/>
    <w:rsid w:val="000B0DCD"/>
    <w:rsid w:val="000B5AC0"/>
    <w:rsid w:val="000C4092"/>
    <w:rsid w:val="000C49FB"/>
    <w:rsid w:val="000D300A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4E10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5D3C"/>
    <w:rsid w:val="002014AC"/>
    <w:rsid w:val="0020445B"/>
    <w:rsid w:val="00215BCE"/>
    <w:rsid w:val="00220712"/>
    <w:rsid w:val="00233E2E"/>
    <w:rsid w:val="00234BE4"/>
    <w:rsid w:val="002353C3"/>
    <w:rsid w:val="002411BD"/>
    <w:rsid w:val="00247EAC"/>
    <w:rsid w:val="00260348"/>
    <w:rsid w:val="00272FC1"/>
    <w:rsid w:val="00277B33"/>
    <w:rsid w:val="00291AB4"/>
    <w:rsid w:val="002933F0"/>
    <w:rsid w:val="00297C6E"/>
    <w:rsid w:val="002A48B1"/>
    <w:rsid w:val="002A4F29"/>
    <w:rsid w:val="002C2133"/>
    <w:rsid w:val="002C5837"/>
    <w:rsid w:val="002C5B29"/>
    <w:rsid w:val="002D6C16"/>
    <w:rsid w:val="002F257B"/>
    <w:rsid w:val="002F41D8"/>
    <w:rsid w:val="00300269"/>
    <w:rsid w:val="003177BB"/>
    <w:rsid w:val="00323B94"/>
    <w:rsid w:val="00327A3F"/>
    <w:rsid w:val="00331884"/>
    <w:rsid w:val="00333FDD"/>
    <w:rsid w:val="00337FF4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F324F"/>
    <w:rsid w:val="0040042E"/>
    <w:rsid w:val="0040552D"/>
    <w:rsid w:val="00415683"/>
    <w:rsid w:val="00416FF8"/>
    <w:rsid w:val="00417D58"/>
    <w:rsid w:val="00430A9B"/>
    <w:rsid w:val="00434996"/>
    <w:rsid w:val="004355E8"/>
    <w:rsid w:val="0043588D"/>
    <w:rsid w:val="004373D7"/>
    <w:rsid w:val="0044171A"/>
    <w:rsid w:val="00444420"/>
    <w:rsid w:val="00451DD4"/>
    <w:rsid w:val="00472171"/>
    <w:rsid w:val="00483F8F"/>
    <w:rsid w:val="00484BD3"/>
    <w:rsid w:val="004A1991"/>
    <w:rsid w:val="004B4B31"/>
    <w:rsid w:val="004B616A"/>
    <w:rsid w:val="004B7E84"/>
    <w:rsid w:val="004C04CF"/>
    <w:rsid w:val="004C0764"/>
    <w:rsid w:val="004C2270"/>
    <w:rsid w:val="004C3C2A"/>
    <w:rsid w:val="004C5E0D"/>
    <w:rsid w:val="004D370F"/>
    <w:rsid w:val="004E1C2D"/>
    <w:rsid w:val="004E601B"/>
    <w:rsid w:val="004E6561"/>
    <w:rsid w:val="004E76A9"/>
    <w:rsid w:val="005008A6"/>
    <w:rsid w:val="005013C1"/>
    <w:rsid w:val="005037A5"/>
    <w:rsid w:val="00512043"/>
    <w:rsid w:val="005123FE"/>
    <w:rsid w:val="00522322"/>
    <w:rsid w:val="00543504"/>
    <w:rsid w:val="005452E4"/>
    <w:rsid w:val="005468B8"/>
    <w:rsid w:val="00546DDE"/>
    <w:rsid w:val="00550874"/>
    <w:rsid w:val="005543A1"/>
    <w:rsid w:val="00555A5B"/>
    <w:rsid w:val="005724D3"/>
    <w:rsid w:val="005877F2"/>
    <w:rsid w:val="00591FCD"/>
    <w:rsid w:val="005A133B"/>
    <w:rsid w:val="005B1D50"/>
    <w:rsid w:val="005B1D65"/>
    <w:rsid w:val="005C1C4D"/>
    <w:rsid w:val="005D1010"/>
    <w:rsid w:val="005E0ADE"/>
    <w:rsid w:val="005E539D"/>
    <w:rsid w:val="005E55D6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95255"/>
    <w:rsid w:val="006978C2"/>
    <w:rsid w:val="006B1BC5"/>
    <w:rsid w:val="006B437C"/>
    <w:rsid w:val="006D3BE7"/>
    <w:rsid w:val="006E75B1"/>
    <w:rsid w:val="006F00FD"/>
    <w:rsid w:val="006F63D6"/>
    <w:rsid w:val="007033E8"/>
    <w:rsid w:val="00711452"/>
    <w:rsid w:val="00741115"/>
    <w:rsid w:val="00745E31"/>
    <w:rsid w:val="00753F3D"/>
    <w:rsid w:val="00757193"/>
    <w:rsid w:val="00763E99"/>
    <w:rsid w:val="00764CC8"/>
    <w:rsid w:val="007676CB"/>
    <w:rsid w:val="00771835"/>
    <w:rsid w:val="007821F2"/>
    <w:rsid w:val="007A609C"/>
    <w:rsid w:val="007B4073"/>
    <w:rsid w:val="007B5CDF"/>
    <w:rsid w:val="007D2C47"/>
    <w:rsid w:val="007D35B5"/>
    <w:rsid w:val="007D52A0"/>
    <w:rsid w:val="007E49B9"/>
    <w:rsid w:val="007F03BC"/>
    <w:rsid w:val="007F14F8"/>
    <w:rsid w:val="007F4E6D"/>
    <w:rsid w:val="00801585"/>
    <w:rsid w:val="00806E58"/>
    <w:rsid w:val="008070A5"/>
    <w:rsid w:val="008120B0"/>
    <w:rsid w:val="00827A94"/>
    <w:rsid w:val="008303DB"/>
    <w:rsid w:val="00832EC2"/>
    <w:rsid w:val="00841751"/>
    <w:rsid w:val="008420B1"/>
    <w:rsid w:val="00843F8C"/>
    <w:rsid w:val="008452E7"/>
    <w:rsid w:val="00846856"/>
    <w:rsid w:val="0085182A"/>
    <w:rsid w:val="008655E9"/>
    <w:rsid w:val="00883313"/>
    <w:rsid w:val="00897B8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550B"/>
    <w:rsid w:val="0095020E"/>
    <w:rsid w:val="00953E8E"/>
    <w:rsid w:val="00971D46"/>
    <w:rsid w:val="0097641F"/>
    <w:rsid w:val="0097721E"/>
    <w:rsid w:val="0099078C"/>
    <w:rsid w:val="009A1079"/>
    <w:rsid w:val="009A46A4"/>
    <w:rsid w:val="009A4C7B"/>
    <w:rsid w:val="009A58B1"/>
    <w:rsid w:val="009B18FF"/>
    <w:rsid w:val="009B467D"/>
    <w:rsid w:val="009C0B76"/>
    <w:rsid w:val="009C33DA"/>
    <w:rsid w:val="009C3684"/>
    <w:rsid w:val="009C4EAE"/>
    <w:rsid w:val="009E118C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38FB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646A"/>
    <w:rsid w:val="00AC13D6"/>
    <w:rsid w:val="00AD006F"/>
    <w:rsid w:val="00AD594D"/>
    <w:rsid w:val="00AD75BF"/>
    <w:rsid w:val="00AE0A05"/>
    <w:rsid w:val="00AE0BC3"/>
    <w:rsid w:val="00AE4789"/>
    <w:rsid w:val="00AE6901"/>
    <w:rsid w:val="00AF746B"/>
    <w:rsid w:val="00B02362"/>
    <w:rsid w:val="00B0641A"/>
    <w:rsid w:val="00B0690E"/>
    <w:rsid w:val="00B37F32"/>
    <w:rsid w:val="00B4304A"/>
    <w:rsid w:val="00B4503F"/>
    <w:rsid w:val="00B62797"/>
    <w:rsid w:val="00B62AB4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D4904"/>
    <w:rsid w:val="00BE5AE6"/>
    <w:rsid w:val="00BE7EA3"/>
    <w:rsid w:val="00BF38A1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82877"/>
    <w:rsid w:val="00C86FC9"/>
    <w:rsid w:val="00C92290"/>
    <w:rsid w:val="00CA072B"/>
    <w:rsid w:val="00CA11C4"/>
    <w:rsid w:val="00CA2018"/>
    <w:rsid w:val="00CA2E83"/>
    <w:rsid w:val="00CB314D"/>
    <w:rsid w:val="00CB788B"/>
    <w:rsid w:val="00CE0273"/>
    <w:rsid w:val="00CE4F98"/>
    <w:rsid w:val="00CE5F2C"/>
    <w:rsid w:val="00CF1E8E"/>
    <w:rsid w:val="00D003B8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7F56"/>
    <w:rsid w:val="00E442E3"/>
    <w:rsid w:val="00E47070"/>
    <w:rsid w:val="00E522D9"/>
    <w:rsid w:val="00E66AD4"/>
    <w:rsid w:val="00E66DBA"/>
    <w:rsid w:val="00E70EDC"/>
    <w:rsid w:val="00E72509"/>
    <w:rsid w:val="00E7783C"/>
    <w:rsid w:val="00E80C41"/>
    <w:rsid w:val="00E85F55"/>
    <w:rsid w:val="00E9515D"/>
    <w:rsid w:val="00EA51AB"/>
    <w:rsid w:val="00EC5F75"/>
    <w:rsid w:val="00ED0AC0"/>
    <w:rsid w:val="00ED26BC"/>
    <w:rsid w:val="00ED44A6"/>
    <w:rsid w:val="00EE0D55"/>
    <w:rsid w:val="00EE3CB6"/>
    <w:rsid w:val="00EF4497"/>
    <w:rsid w:val="00EF44C8"/>
    <w:rsid w:val="00EF4D18"/>
    <w:rsid w:val="00F04CAE"/>
    <w:rsid w:val="00F07D21"/>
    <w:rsid w:val="00F10CBE"/>
    <w:rsid w:val="00F11927"/>
    <w:rsid w:val="00F136EE"/>
    <w:rsid w:val="00F2422D"/>
    <w:rsid w:val="00F24BB5"/>
    <w:rsid w:val="00F24CF9"/>
    <w:rsid w:val="00F27CF5"/>
    <w:rsid w:val="00F401D0"/>
    <w:rsid w:val="00F71E20"/>
    <w:rsid w:val="00F7354D"/>
    <w:rsid w:val="00F750DD"/>
    <w:rsid w:val="00F759BE"/>
    <w:rsid w:val="00F80D14"/>
    <w:rsid w:val="00F813E6"/>
    <w:rsid w:val="00F83189"/>
    <w:rsid w:val="00F870A3"/>
    <w:rsid w:val="00F95222"/>
    <w:rsid w:val="00F95BE3"/>
    <w:rsid w:val="00F9707D"/>
    <w:rsid w:val="00FA33C7"/>
    <w:rsid w:val="00FA4A1F"/>
    <w:rsid w:val="00FB3911"/>
    <w:rsid w:val="00FB5BCE"/>
    <w:rsid w:val="00FC1F79"/>
    <w:rsid w:val="00FC3CEF"/>
    <w:rsid w:val="00FC5B91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120</cp:revision>
  <cp:lastPrinted>2018-01-15T13:23:00Z</cp:lastPrinted>
  <dcterms:created xsi:type="dcterms:W3CDTF">2018-03-05T20:09:00Z</dcterms:created>
  <dcterms:modified xsi:type="dcterms:W3CDTF">2018-07-11T12:55:00Z</dcterms:modified>
</cp:coreProperties>
</file>