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32" w:rsidRDefault="002374E9" w:rsidP="002374E9">
      <w:pPr>
        <w:jc w:val="center"/>
        <w:rPr>
          <w:b/>
        </w:rPr>
      </w:pPr>
      <w:r w:rsidRPr="002374E9">
        <w:rPr>
          <w:b/>
        </w:rPr>
        <w:t>AVISO</w:t>
      </w:r>
    </w:p>
    <w:p w:rsidR="003F67DA" w:rsidRDefault="002374E9" w:rsidP="002374E9">
      <w:pPr>
        <w:jc w:val="both"/>
      </w:pPr>
      <w:r w:rsidRPr="002374E9">
        <w:t>A los dieciocho (18) días del mes de octubre de 2016</w:t>
      </w:r>
      <w:r w:rsidR="003F67DA">
        <w:t xml:space="preserve"> </w:t>
      </w:r>
      <w:r w:rsidR="003F67DA">
        <w:t>se reunió</w:t>
      </w:r>
      <w:r w:rsidRPr="002374E9">
        <w:t xml:space="preserve"> el Comité Técnico de la </w:t>
      </w:r>
      <w:r>
        <w:t xml:space="preserve">Comisión </w:t>
      </w:r>
      <w:r w:rsidRPr="002374E9">
        <w:t xml:space="preserve">Conjunta  </w:t>
      </w:r>
      <w:r>
        <w:t xml:space="preserve">del POMCA Canal del Dique (2909) </w:t>
      </w:r>
      <w:r w:rsidR="004F2059">
        <w:t>con el fin de</w:t>
      </w:r>
      <w:r w:rsidR="003F67DA">
        <w:t xml:space="preserve"> establecer un nuevo cronograma para el proceso de conformación del Consejo de Cuenca, </w:t>
      </w:r>
      <w:r>
        <w:t>teniendo e</w:t>
      </w:r>
      <w:r w:rsidR="003F67DA">
        <w:t>n</w:t>
      </w:r>
      <w:r>
        <w:t xml:space="preserve"> consideración </w:t>
      </w:r>
      <w:r w:rsidR="003F67DA">
        <w:t>que</w:t>
      </w:r>
      <w:r w:rsidRPr="002374E9">
        <w:t xml:space="preserve"> </w:t>
      </w:r>
      <w:r w:rsidR="003F67DA">
        <w:t xml:space="preserve">se requiere de un mayor plazo para evaluar los requisitos de los actores inscritos. </w:t>
      </w:r>
    </w:p>
    <w:p w:rsidR="003F67DA" w:rsidRDefault="003F67DA" w:rsidP="002374E9">
      <w:pPr>
        <w:jc w:val="both"/>
      </w:pPr>
      <w:r>
        <w:t>En consecuencia, el  nuevo cronograma d</w:t>
      </w:r>
      <w:r>
        <w:t xml:space="preserve">el proceso de conformación del </w:t>
      </w:r>
      <w:r>
        <w:t xml:space="preserve">mencionado </w:t>
      </w:r>
      <w:r>
        <w:t>Consejo de Cuenca</w:t>
      </w:r>
      <w:r>
        <w:t xml:space="preserve"> quedará así: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1985"/>
        <w:gridCol w:w="2126"/>
        <w:gridCol w:w="1701"/>
      </w:tblGrid>
      <w:tr w:rsidR="004F2059" w:rsidRPr="00EE22C0" w:rsidTr="004F2059">
        <w:trPr>
          <w:trHeight w:val="300"/>
          <w:tblHeader/>
          <w:jc w:val="center"/>
        </w:trPr>
        <w:tc>
          <w:tcPr>
            <w:tcW w:w="2844" w:type="dxa"/>
            <w:shd w:val="clear" w:color="auto" w:fill="DFE3E8"/>
            <w:vAlign w:val="center"/>
            <w:hideMark/>
          </w:tcPr>
          <w:p w:rsidR="004F2059" w:rsidRPr="00EE22C0" w:rsidRDefault="004F2059" w:rsidP="004F2059">
            <w:pPr>
              <w:jc w:val="center"/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</w:pPr>
            <w:bookmarkStart w:id="0" w:name="_GoBack" w:colFirst="0" w:colLast="3"/>
            <w:r w:rsidRPr="00EE22C0"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  <w:t>Nombre de tarea</w:t>
            </w:r>
          </w:p>
        </w:tc>
        <w:tc>
          <w:tcPr>
            <w:tcW w:w="1985" w:type="dxa"/>
            <w:shd w:val="clear" w:color="auto" w:fill="DFE3E8"/>
            <w:vAlign w:val="center"/>
            <w:hideMark/>
          </w:tcPr>
          <w:p w:rsidR="004F2059" w:rsidRPr="00EE22C0" w:rsidRDefault="004F2059" w:rsidP="004F2059">
            <w:pPr>
              <w:jc w:val="center"/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  <w:t>Duración</w:t>
            </w:r>
          </w:p>
        </w:tc>
        <w:tc>
          <w:tcPr>
            <w:tcW w:w="2126" w:type="dxa"/>
            <w:shd w:val="clear" w:color="auto" w:fill="DFE3E8"/>
            <w:vAlign w:val="center"/>
            <w:hideMark/>
          </w:tcPr>
          <w:p w:rsidR="004F2059" w:rsidRPr="00EE22C0" w:rsidRDefault="004F2059" w:rsidP="004F2059">
            <w:pPr>
              <w:jc w:val="center"/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  <w:t>Comienzo</w:t>
            </w:r>
          </w:p>
        </w:tc>
        <w:tc>
          <w:tcPr>
            <w:tcW w:w="1701" w:type="dxa"/>
            <w:shd w:val="clear" w:color="auto" w:fill="DFE3E8"/>
            <w:vAlign w:val="center"/>
            <w:hideMark/>
          </w:tcPr>
          <w:p w:rsidR="004F2059" w:rsidRPr="00EE22C0" w:rsidRDefault="004F2059" w:rsidP="004F2059">
            <w:pPr>
              <w:jc w:val="center"/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b/>
                <w:color w:val="363636"/>
                <w:sz w:val="20"/>
                <w:szCs w:val="20"/>
                <w:lang w:eastAsia="es-CO"/>
              </w:rPr>
              <w:t>Fin</w:t>
            </w:r>
          </w:p>
        </w:tc>
      </w:tr>
      <w:bookmarkEnd w:id="0"/>
      <w:tr w:rsidR="004F2059" w:rsidRPr="00EE22C0" w:rsidTr="004F2059">
        <w:trPr>
          <w:trHeight w:val="3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  <w:t xml:space="preserve">CONFORMACIÓN CONSEJO DE CUENCA 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b/>
                <w:bCs/>
                <w:color w:val="ED1C24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b/>
                <w:bCs/>
                <w:color w:val="ED1C24"/>
                <w:sz w:val="20"/>
                <w:szCs w:val="20"/>
                <w:lang w:eastAsia="es-CO"/>
              </w:rPr>
              <w:t>35 días hábiles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  <w:t>12 de septiembre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es-CO"/>
              </w:rPr>
              <w:t>17 de Noviembre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Reunión Concertación Comisión Conjunta -fechas y especificaciones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12 de septiembre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2059" w:rsidRPr="004F2059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4F2059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12 de septiembre</w:t>
            </w:r>
          </w:p>
        </w:tc>
      </w:tr>
      <w:tr w:rsidR="004F2059" w:rsidRPr="00EE22C0" w:rsidTr="004F2059">
        <w:trPr>
          <w:trHeight w:val="12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Publicación invitación Publica en diario de circulación en el área de jurisdicción de la cuenca (Mínimo con 30 días hábiles antes de la Elección)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18 de septiembre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18 de septiembre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Fijación de invitación Publica en lugar Visible de CRA y en la página WEB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30 días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19 de sept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10 de octubre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Fijación de invitación Publica en lugar Visible de Gobernación y Alcaldías)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30 días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19 de sept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10 de octubre</w:t>
            </w:r>
          </w:p>
        </w:tc>
      </w:tr>
      <w:tr w:rsidR="004F2059" w:rsidRPr="00EE22C0" w:rsidTr="004F2059">
        <w:trPr>
          <w:trHeight w:val="863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Entrega de documentos por parte de los postulados (cierre máximo 15 días hábiles antes de la reunión de elección del consejo)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15 </w:t>
            </w:r>
            <w:proofErr w:type="spellStart"/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dias</w:t>
            </w:r>
            <w:proofErr w:type="spellEnd"/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19 de septiembre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10 de octubre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Estudio de documentación y verificación de requisitos (comité técnico cada corporación)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4 días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11 de octubre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14 de octubre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Reunión comité técnico para verificación de requisitos.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7 días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18 de Octubre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24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</w:tr>
      <w:tr w:rsidR="004F2059" w:rsidRPr="00EE22C0" w:rsidTr="004F2059">
        <w:trPr>
          <w:trHeight w:val="3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Presentación de informe y publicación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24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24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</w:tr>
      <w:tr w:rsidR="004F2059" w:rsidRPr="00EE22C0" w:rsidTr="004F2059">
        <w:trPr>
          <w:trHeight w:val="3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Reclamaciones 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 días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25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26 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de octubre</w:t>
            </w:r>
          </w:p>
        </w:tc>
      </w:tr>
      <w:tr w:rsidR="004F2059" w:rsidRPr="00EE22C0" w:rsidTr="004F2059">
        <w:trPr>
          <w:trHeight w:val="3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Revisión de reclamaciones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 días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26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31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</w:tr>
      <w:tr w:rsidR="004F2059" w:rsidRPr="00EE22C0" w:rsidTr="004F2059">
        <w:trPr>
          <w:trHeight w:val="3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Publicación de resultados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31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 xml:space="preserve"> de octubre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31</w:t>
            </w: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de octubre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lastRenderedPageBreak/>
              <w:t>Fecha límite para que las comunidades informen sobre sus consejeros elegidos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de Noviembre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de Noviembre</w:t>
            </w:r>
          </w:p>
        </w:tc>
      </w:tr>
      <w:tr w:rsidR="004F2059" w:rsidRPr="00EE22C0" w:rsidTr="004F2059">
        <w:trPr>
          <w:trHeight w:val="3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Reunión de Elección consejo de cuenca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 de Noviembre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3 de Noviembre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Publicación de resultados de la elección de consejeros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4 de noviembre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4 de noviembre</w:t>
            </w:r>
          </w:p>
        </w:tc>
      </w:tr>
      <w:tr w:rsidR="004F2059" w:rsidRPr="00EE22C0" w:rsidTr="004F2059">
        <w:trPr>
          <w:trHeight w:val="600"/>
          <w:jc w:val="center"/>
        </w:trPr>
        <w:tc>
          <w:tcPr>
            <w:tcW w:w="2844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Reunión de instalación del  Consejo de Cuenca elegido (Seminario Taller)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 día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17 de Noviembre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4F2059" w:rsidRPr="00EE22C0" w:rsidRDefault="004F2059" w:rsidP="004F2059">
            <w:pPr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</w:pPr>
            <w:r w:rsidRPr="00EE22C0">
              <w:rPr>
                <w:rFonts w:ascii="Arial Narrow" w:hAnsi="Arial Narrow"/>
                <w:color w:val="000000"/>
                <w:sz w:val="20"/>
                <w:szCs w:val="20"/>
                <w:lang w:eastAsia="es-CO"/>
              </w:rPr>
              <w:t>17  de Noviembre</w:t>
            </w:r>
          </w:p>
        </w:tc>
      </w:tr>
    </w:tbl>
    <w:p w:rsidR="003F67DA" w:rsidRDefault="003F67DA" w:rsidP="002374E9">
      <w:pPr>
        <w:jc w:val="both"/>
      </w:pPr>
    </w:p>
    <w:p w:rsidR="003F67DA" w:rsidRDefault="004F2059" w:rsidP="004F2059">
      <w:pPr>
        <w:jc w:val="center"/>
      </w:pPr>
      <w:r>
        <w:t>Dado en Barranquilla, a</w:t>
      </w:r>
      <w:r w:rsidRPr="002374E9">
        <w:t xml:space="preserve"> los dieciocho (18) días del mes de octubre de 2016</w:t>
      </w:r>
      <w:r>
        <w:t>.</w:t>
      </w:r>
    </w:p>
    <w:p w:rsidR="002374E9" w:rsidRDefault="003F67DA" w:rsidP="002374E9">
      <w:pPr>
        <w:jc w:val="both"/>
      </w:pPr>
      <w:r>
        <w:t xml:space="preserve"> </w:t>
      </w:r>
    </w:p>
    <w:p w:rsidR="004F2059" w:rsidRPr="004F2059" w:rsidRDefault="004F2059" w:rsidP="004F2059">
      <w:pPr>
        <w:jc w:val="center"/>
        <w:rPr>
          <w:b/>
        </w:rPr>
      </w:pPr>
      <w:r w:rsidRPr="004F2059">
        <w:rPr>
          <w:b/>
        </w:rPr>
        <w:t>PUBLÍQUESE</w:t>
      </w:r>
    </w:p>
    <w:sectPr w:rsidR="004F2059" w:rsidRPr="004F20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E9"/>
    <w:rsid w:val="002374E9"/>
    <w:rsid w:val="003F67DA"/>
    <w:rsid w:val="004F2059"/>
    <w:rsid w:val="00C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2BBB4D-557C-45B4-B87F-C98C5D28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Nohora Paola Manotas Velez</dc:creator>
  <cp:keywords/>
  <dc:description/>
  <cp:lastModifiedBy>Nohora Paola Manotas Velez</cp:lastModifiedBy>
  <cp:revision>1</cp:revision>
  <dcterms:created xsi:type="dcterms:W3CDTF">2016-10-18T20:25:00Z</dcterms:created>
  <dcterms:modified xsi:type="dcterms:W3CDTF">2016-10-18T20:51:00Z</dcterms:modified>
</cp:coreProperties>
</file>